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John Culkin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Ada culkin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Bram culkin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