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Bielas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michal.bielas@tlen.pl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+48509237103 ,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Bielas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Katarzyna Joachimiak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06.10.2016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Hanna Lendzion</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06.10.2016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