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Rafael Cornelio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rafacornelio14@gmail.com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+639434443378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14/04/2000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Bacolod City, Negros Occidental,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Blk. 14 Lt. 7 East Villas Subd. Bacolod City, Negros Occidental, Philippines 6100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Joseph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+639431769377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16/12/2025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16/12/2025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