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Радостина</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Костова</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+3590876570551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rafaelkostov7@gmail.com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Rafael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12.2.2013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21.12.2025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