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Marciniak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p.marciniak@citywine.pl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+48506370518 ,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13.12.2015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Olek</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11.01.2015</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Fabian</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10.08.2015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Julek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19.01.2015</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