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eww_kowalczyk@interia.eu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+48668047538 ,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Franek odrzywol</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19.04.2018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rosiak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Hania odrzywol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08.03.2016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