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Владимир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Станчев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vladstanchev@gmail.com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+359884990813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23.7.1987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Симона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7.2.2017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