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Radoslav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Zdravkov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13.9.1987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+359887481639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radozdravkov@gmail.com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tyufekchiev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30.12.2016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Zara tyufekchieva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30.12.2016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