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Wozniak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martawozniak1@gmail.com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+48660093090 ,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Wozniak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01.12.2009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Aleksander Chamera</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28.12.2009</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Antoni Adryanowski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16.03.2010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Jakub Asanowicz</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04.12.2009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