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Теодора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Моллова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teodora.gospodinova.ivanova@abv.bg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+359885737371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24.8.1988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Иван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24.4.2018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Живодар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18.10.2023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