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jakubmilczak@gmail.com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+48724145395 ,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Milczak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Milczak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24.02.2022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Jagoda Milczak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24.02.2022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