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Storczyk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ewajas@onet.eu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+48791564646 ,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Julia Storczyk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07.07.2015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Kaja Ambroszczyk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06.09.2015</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Mateusz Storczyk</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17.06.2012</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