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Słonka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slonka.aleksandra@gmail.com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+48507257602 ,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Tola Słonka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22.09.2019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Aleksander Słonka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19.08.2013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Alicja Słonka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03.04.2023</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