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Wisniewska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margot85@interia.pl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+48793055585 ,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Alan Wiśniewski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12.09.2012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Oliwier Wiśniewski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24.06.2012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Oskar Wiśniewski</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26.05.2015</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