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asiulec@onet.eu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+48503858853 ,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Franas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Lesiak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Nela Sztendel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13.02.2017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