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Tea  Dombeva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7.4.2006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+359893756503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svetlana395904@gmail.com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