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Piotrowski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mario.piotrowski@gmail.com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+48730910316 ,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Miłosz Piotrowski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Maja Kisiel</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17.03.2015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Alex Szurgot</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26.03.2015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