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Mikołajczyk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melkamarzena@op.pl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+48505290260 ,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Maksymilian Mikołajczyk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10.10.2013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Miłosz Mikołajczyk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01.10.2019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