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Haris  Siaflas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+306938171035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