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Wardęcka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Uslugi@wardecka.com.pl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+48533360585 ,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Michał Wardęcki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26.01.2014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