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Деница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Кичукова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argirova.denica@gmail.com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+359895604036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24.7.1986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Таня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11.3.2020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Веселин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28.5.2021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Кристиян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10.6.2011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