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Perliński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m.perlinski.lodz@gmail.com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+48517718884 ,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Milosz Perliński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04.11.2020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Nela Perlińska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24.01.2016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Kornelia Perlińska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26.02.2016</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