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Irfan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Rashis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+97339693965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Ibrahim rashid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