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Cichura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cichura.monika@gmail.com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+48600386088 ,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Zuzia Poszumska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Nikola Badek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04.04.2013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Dorota Janiec</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21.06.2013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