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Hitler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oskarinoq@wp.pl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+48531897599 ,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lepalczyk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Artur konsiel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