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Gabara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g.gabara@vp.pl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+48500359282 ,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Gabara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Antonina Majkowska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23.01.2011</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Paweł Gabara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Przemyslaw Gabara</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25.01.2016</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Aleksandra Majkowska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26.11.2014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Alina Majkowska</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17.12.2016</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