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Nelina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Tsarova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24.12.1963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+359885565515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ntsarova@gmail.com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Danaya Bojkova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13.10.2010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Ivan Bojkov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23.9.2021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