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Ghani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ghanijulia@gmail.com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+48783006062 ,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Fayad Ghani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Hakeem Ghani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11.06.2021</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Ibraheem Ghani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Yaseen Ghani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01.12.2018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