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Антон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Тошкин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antontoshkin@mail.bg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+359898371443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3.11.1984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Габриела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2.6.2013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