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Илиян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iliyanalmarinov@gmail.com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+359893750285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