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Wilmańska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a.wilmanska@hotmail.com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+48509105054 ,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Brzózka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Weronika Brzózka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Szymon Brzózka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27.02.2022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