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tomeksta@o2.pl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+48602303207 ,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Stawiński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Miśkiewicz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