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jakub.zawadzki@poczta.fm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+48728401657 ,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Zawadzki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Henryk Zawadzki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Bieniaszewska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