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+359887740987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atneshkov@gmail.com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Rumen Neshkov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Borislav Stoyanov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