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Miszewski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marcin.miszewski@esntec.com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+4915129805040 ,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Sophia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Colin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26.03.2014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