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jarek.kikowski@wp.pl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+48512281630 ,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KIKOWSKA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KIKOWSKA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JULIAN KIKOWSKI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05.05.2019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