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kayla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620 south road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hanleykayla@outlook.com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+16305254967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declan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