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natalia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kotidoy</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12.6.1982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+306988707045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nataliakot1206@gmail.com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29.12.2025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katerina Anastasiadoy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11.11.2014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anastasiadoy victoria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14.3.2010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anna ioannidoy</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2.4.2011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alexandra ioannidoy</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7.2.2009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