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+48535597700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18.08.2000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Stanislaw pikuła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Julia pikuła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