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Daniszewicz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malwina.daniszewicz@onet.pl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+48607456307 ,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Agata Kołacha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