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Ганевски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vande_g@abv.bg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+359883345935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11.6.1988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Габриела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1.7.2022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