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Genadiy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+359988888211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genadiyganchev@gmail.com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Ganchev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Emilqna Gancheva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