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Zornitsa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Getsova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+359887537897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getsova_86@mail.bg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Radoslav Tananeev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22.8.2012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Jordan Tananeev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25.5.2010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