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Янтония Пенчева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+359876320394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anipencheva2@gmail.com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Величков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