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Cylke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www.aniacc@wp.pl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+48601179490 ,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Cylke</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23.04.2013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Tomasz Fandrych</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18.11.2013</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Kacper Cylke</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23.04.2013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Amelia Fandrych</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02.11.2012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