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Katerina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Angelova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6.11.1993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+359895677152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katangelova93@gmail.com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Qvor Vasilev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21.4.2021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