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Sekta-pietras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h.pietras@interia.pl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+48784215491 ,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Wiktor Pietras</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Kacper Pietras</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27.01.2013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Filip Mnich</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20.09.2017</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