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Constanza Paola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Avila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constanzavila48@gmail.com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+523781275010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18/09/2001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Maria jose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+523781058941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