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Julio</w:t>
      </w:r>
      <w:r>
        <w:rPr>
          <w:color w:val="222222"/>
        </w:rPr>
        <w:br/>
        <w:t>Apellido(s):</w:t>
      </w:r>
      <w:r w:rsidR="002F3FBD">
        <w:rPr>
          <w:color w:val="222222"/>
          <w:lang w:val="bg-BG"/>
        </w:rPr>
        <w:t xml:space="preserve"> </w:t>
      </w:r>
      <w:r w:rsidRPr="002F3FBD" w:rsidR="002F3FBD">
        <w:rPr>
          <w:color w:val="222222"/>
          <w:lang w:val="bg-BG"/>
        </w:rPr>
        <w:t>Sagasta Boix</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14/04/1994</w:t>
      </w:r>
      <w:r>
        <w:rPr>
          <w:color w:val="222222"/>
        </w:rPr>
        <w:br/>
        <w:t>NIE/TIE/Pasaporte:</w:t>
      </w:r>
      <w:r w:rsidR="002F3FBD">
        <w:rPr>
          <w:color w:val="222222"/>
          <w:lang w:val="bg-BG"/>
        </w:rPr>
        <w:t xml:space="preserve"> </w:t>
      </w:r>
      <w:r w:rsidRPr="002F3FBD" w:rsidR="002F3FBD">
        <w:rPr>
          <w:color w:val="222222"/>
          <w:lang w:val="bg-BG"/>
        </w:rPr>
        <w:t>74379509q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+34620358791</w:t>
      </w:r>
      <w:r>
        <w:rPr>
          <w:color w:val="222222"/>
        </w:rPr>
        <w:br/>
        <w:t>Correo electrónico:</w:t>
      </w:r>
      <w:r w:rsidR="002F3FBD">
        <w:rPr>
          <w:color w:val="222222"/>
          <w:lang w:val="bg-BG"/>
        </w:rPr>
        <w:t xml:space="preserve"> </w:t>
      </w:r>
      <w:r w:rsidRPr="002F3FBD" w:rsidR="002F3FBD">
        <w:rPr>
          <w:color w:val="222222"/>
          <w:lang w:val="bg-BG"/>
        </w:rPr>
        <w:t>juliosagasta8@gmail.com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Julio Sagasta</w:t>
      </w:r>
      <w:r>
        <w:rPr>
          <w:color w:val="222222"/>
        </w:rPr>
        <w:br/>
        <w:t>Teléfono de contacto de emergencia:</w:t>
      </w:r>
      <w:r w:rsidR="002F3FBD">
        <w:rPr>
          <w:color w:val="222222"/>
          <w:lang w:val="bg-BG"/>
        </w:rPr>
        <w:t xml:space="preserve"> </w:t>
      </w:r>
      <w:r w:rsidRPr="002F3FBD" w:rsidR="002F3FBD">
        <w:rPr>
          <w:color w:val="222222"/>
          <w:lang w:val="bg-BG"/>
        </w:rPr>
        <w:t>+34620355742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