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Atelier@agatawojtkiewicz.pl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+48506130306 ,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Katarzyna Lewandowska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